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eastAsia="宋体"/>
          <w:b w:val="0"/>
          <w:i w:val="0"/>
          <w:caps w:val="0"/>
          <w:color w:val="333333"/>
          <w:spacing w:val="0"/>
          <w:sz w:val="42"/>
          <w:szCs w:val="42"/>
          <w:shd w:val="clear" w:color="auto" w:fill="auto"/>
          <w:lang w:val="en-US" w:eastAsia="zh-CN"/>
        </w:rPr>
      </w:pPr>
      <w:r>
        <w:rPr>
          <w:rFonts w:hint="eastAsia"/>
          <w:b/>
          <w:bCs/>
          <w:i w:val="0"/>
          <w:caps w:val="0"/>
          <w:color w:val="333333"/>
          <w:spacing w:val="0"/>
          <w:sz w:val="42"/>
          <w:szCs w:val="42"/>
          <w:shd w:val="clear" w:color="auto" w:fill="auto"/>
          <w:lang w:val="en-US" w:eastAsia="zh-CN"/>
        </w:rPr>
        <w:t>3-苯丙酸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bCs/>
          <w:sz w:val="42"/>
          <w:szCs w:val="42"/>
          <w:shd w:val="clear" w:color="auto" w:fill="auto"/>
        </w:rPr>
      </w:pPr>
      <w:r>
        <w:rPr>
          <w:b/>
          <w:bCs/>
          <w:i w:val="0"/>
          <w:caps w:val="0"/>
          <w:color w:val="333333"/>
          <w:spacing w:val="0"/>
          <w:sz w:val="42"/>
          <w:szCs w:val="42"/>
          <w:shd w:val="clear" w:color="auto" w:fill="auto"/>
        </w:rPr>
        <w:t>化学品安全技术说明书</w:t>
      </w:r>
    </w:p>
    <w:tbl>
      <w:tblPr>
        <w:tblStyle w:val="6"/>
        <w:tblW w:w="10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79"/>
        <w:gridCol w:w="5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4779"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both"/>
              <w:textAlignment w:val="top"/>
              <w:rPr>
                <w:shd w:val="clear" w:color="auto" w:fill="auto"/>
              </w:rPr>
            </w:pPr>
            <w:r>
              <w:rPr>
                <w:rFonts w:ascii="宋体" w:hAnsi="宋体" w:eastAsia="宋体" w:cs="宋体"/>
                <w:kern w:val="0"/>
                <w:sz w:val="24"/>
                <w:szCs w:val="24"/>
                <w:shd w:val="clear" w:color="auto" w:fill="auto"/>
                <w:lang w:val="en-US" w:eastAsia="zh-CN" w:bidi="ar"/>
              </w:rPr>
              <w:t>产品名称:</w:t>
            </w:r>
            <w:r>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t>3-苯丙酸</w:t>
            </w:r>
          </w:p>
        </w:tc>
        <w:tc>
          <w:tcPr>
            <w:tcW w:w="5681"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both"/>
              <w:textAlignment w:val="top"/>
              <w:rPr>
                <w:shd w:val="clear" w:color="auto" w:fill="auto"/>
              </w:rPr>
            </w:pPr>
            <w:r>
              <w:rPr>
                <w:rFonts w:ascii="宋体" w:hAnsi="宋体" w:eastAsia="宋体" w:cs="宋体"/>
                <w:kern w:val="0"/>
                <w:sz w:val="24"/>
                <w:szCs w:val="24"/>
                <w:shd w:val="clear" w:color="auto" w:fill="auto"/>
                <w:lang w:val="en-US" w:eastAsia="zh-CN" w:bidi="ar"/>
              </w:rPr>
              <w:t>按照GB/T 16483、GB/T 17519 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779"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both"/>
              <w:textAlignment w:val="top"/>
              <w:rPr>
                <w:shd w:val="clear" w:color="auto" w:fill="auto"/>
              </w:rPr>
            </w:pPr>
            <w:r>
              <w:rPr>
                <w:rFonts w:ascii="宋体" w:hAnsi="宋体" w:eastAsia="宋体" w:cs="宋体"/>
                <w:kern w:val="0"/>
                <w:sz w:val="24"/>
                <w:szCs w:val="24"/>
                <w:shd w:val="clear" w:color="auto" w:fill="auto"/>
                <w:lang w:val="en-US" w:eastAsia="zh-CN" w:bidi="ar"/>
              </w:rPr>
              <w:t>修订日期: 201</w:t>
            </w:r>
            <w:r>
              <w:rPr>
                <w:rFonts w:hint="eastAsia" w:ascii="宋体" w:hAnsi="宋体" w:eastAsia="宋体" w:cs="宋体"/>
                <w:kern w:val="0"/>
                <w:sz w:val="24"/>
                <w:szCs w:val="24"/>
                <w:shd w:val="clear" w:color="auto" w:fill="auto"/>
                <w:lang w:val="en-US" w:eastAsia="zh-CN" w:bidi="ar"/>
              </w:rPr>
              <w:t>9</w:t>
            </w:r>
            <w:r>
              <w:rPr>
                <w:rFonts w:ascii="宋体" w:hAnsi="宋体" w:eastAsia="宋体" w:cs="宋体"/>
                <w:kern w:val="0"/>
                <w:sz w:val="24"/>
                <w:szCs w:val="24"/>
                <w:shd w:val="clear" w:color="auto" w:fill="auto"/>
                <w:lang w:val="en-US" w:eastAsia="zh-CN" w:bidi="ar"/>
              </w:rPr>
              <w:t>年0</w:t>
            </w:r>
            <w:r>
              <w:rPr>
                <w:rFonts w:hint="eastAsia" w:ascii="宋体" w:hAnsi="宋体" w:eastAsia="宋体" w:cs="宋体"/>
                <w:kern w:val="0"/>
                <w:sz w:val="24"/>
                <w:szCs w:val="24"/>
                <w:shd w:val="clear" w:color="auto" w:fill="auto"/>
                <w:lang w:val="en-US" w:eastAsia="zh-CN" w:bidi="ar"/>
              </w:rPr>
              <w:t>7</w:t>
            </w:r>
            <w:r>
              <w:rPr>
                <w:rFonts w:ascii="宋体" w:hAnsi="宋体" w:eastAsia="宋体" w:cs="宋体"/>
                <w:kern w:val="0"/>
                <w:sz w:val="24"/>
                <w:szCs w:val="24"/>
                <w:shd w:val="clear" w:color="auto" w:fill="auto"/>
                <w:lang w:val="en-US" w:eastAsia="zh-CN" w:bidi="ar"/>
              </w:rPr>
              <w:t>月1</w:t>
            </w:r>
            <w:r>
              <w:rPr>
                <w:rFonts w:hint="eastAsia" w:ascii="宋体" w:hAnsi="宋体" w:eastAsia="宋体" w:cs="宋体"/>
                <w:kern w:val="0"/>
                <w:sz w:val="24"/>
                <w:szCs w:val="24"/>
                <w:shd w:val="clear" w:color="auto" w:fill="auto"/>
                <w:lang w:val="en-US" w:eastAsia="zh-CN" w:bidi="ar"/>
              </w:rPr>
              <w:t>5</w:t>
            </w:r>
            <w:r>
              <w:rPr>
                <w:rFonts w:ascii="宋体" w:hAnsi="宋体" w:eastAsia="宋体" w:cs="宋体"/>
                <w:kern w:val="0"/>
                <w:sz w:val="24"/>
                <w:szCs w:val="24"/>
                <w:shd w:val="clear" w:color="auto" w:fill="auto"/>
                <w:lang w:val="en-US" w:eastAsia="zh-CN" w:bidi="ar"/>
              </w:rPr>
              <w:t>日</w:t>
            </w:r>
          </w:p>
        </w:tc>
        <w:tc>
          <w:tcPr>
            <w:tcW w:w="5681"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both"/>
              <w:textAlignment w:val="top"/>
              <w:rPr>
                <w:shd w:val="clear" w:color="auto" w:fill="auto"/>
              </w:rPr>
            </w:pPr>
            <w:r>
              <w:rPr>
                <w:rFonts w:ascii="宋体" w:hAnsi="宋体" w:eastAsia="宋体" w:cs="宋体"/>
                <w:kern w:val="0"/>
                <w:sz w:val="24"/>
                <w:szCs w:val="24"/>
                <w:shd w:val="clear" w:color="auto" w:fill="auto"/>
                <w:lang w:val="en-US" w:eastAsia="zh-CN" w:bidi="ar"/>
              </w:rPr>
              <w:t>最初编制日期: 201</w:t>
            </w:r>
            <w:r>
              <w:rPr>
                <w:rFonts w:hint="eastAsia" w:ascii="宋体" w:hAnsi="宋体" w:eastAsia="宋体" w:cs="宋体"/>
                <w:kern w:val="0"/>
                <w:sz w:val="24"/>
                <w:szCs w:val="24"/>
                <w:shd w:val="clear" w:color="auto" w:fill="auto"/>
                <w:lang w:val="en-US" w:eastAsia="zh-CN" w:bidi="ar"/>
              </w:rPr>
              <w:t>9</w:t>
            </w:r>
            <w:r>
              <w:rPr>
                <w:rFonts w:ascii="宋体" w:hAnsi="宋体" w:eastAsia="宋体" w:cs="宋体"/>
                <w:kern w:val="0"/>
                <w:sz w:val="24"/>
                <w:szCs w:val="24"/>
                <w:shd w:val="clear" w:color="auto" w:fill="auto"/>
                <w:lang w:val="en-US" w:eastAsia="zh-CN" w:bidi="ar"/>
              </w:rPr>
              <w:t>年0</w:t>
            </w:r>
            <w:r>
              <w:rPr>
                <w:rFonts w:hint="eastAsia" w:ascii="宋体" w:hAnsi="宋体" w:eastAsia="宋体" w:cs="宋体"/>
                <w:kern w:val="0"/>
                <w:sz w:val="24"/>
                <w:szCs w:val="24"/>
                <w:shd w:val="clear" w:color="auto" w:fill="auto"/>
                <w:lang w:val="en-US" w:eastAsia="zh-CN" w:bidi="ar"/>
              </w:rPr>
              <w:t>7</w:t>
            </w:r>
            <w:r>
              <w:rPr>
                <w:rFonts w:ascii="宋体" w:hAnsi="宋体" w:eastAsia="宋体" w:cs="宋体"/>
                <w:kern w:val="0"/>
                <w:sz w:val="24"/>
                <w:szCs w:val="24"/>
                <w:shd w:val="clear" w:color="auto" w:fill="auto"/>
                <w:lang w:val="en-US" w:eastAsia="zh-CN" w:bidi="ar"/>
              </w:rPr>
              <w:t>月1</w:t>
            </w:r>
            <w:r>
              <w:rPr>
                <w:rFonts w:hint="eastAsia" w:ascii="宋体" w:hAnsi="宋体" w:eastAsia="宋体" w:cs="宋体"/>
                <w:kern w:val="0"/>
                <w:sz w:val="24"/>
                <w:szCs w:val="24"/>
                <w:shd w:val="clear" w:color="auto" w:fill="auto"/>
                <w:lang w:val="en-US" w:eastAsia="zh-CN" w:bidi="ar"/>
              </w:rPr>
              <w:t>5</w:t>
            </w:r>
            <w:r>
              <w:rPr>
                <w:rFonts w:ascii="宋体" w:hAnsi="宋体" w:eastAsia="宋体" w:cs="宋体"/>
                <w:kern w:val="0"/>
                <w:sz w:val="24"/>
                <w:szCs w:val="24"/>
                <w:shd w:val="clear" w:color="auto" w:fill="auto"/>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779"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both"/>
              <w:textAlignment w:val="top"/>
              <w:rPr>
                <w:shd w:val="clear" w:color="auto" w:fill="auto"/>
              </w:rPr>
            </w:pPr>
            <w:r>
              <w:rPr>
                <w:rFonts w:ascii="宋体" w:hAnsi="宋体" w:eastAsia="宋体" w:cs="宋体"/>
                <w:kern w:val="0"/>
                <w:sz w:val="24"/>
                <w:szCs w:val="24"/>
                <w:shd w:val="clear" w:color="auto" w:fill="auto"/>
                <w:lang w:val="en-US" w:eastAsia="zh-CN" w:bidi="ar"/>
              </w:rPr>
              <w:t>版本: 1.0</w:t>
            </w:r>
          </w:p>
        </w:tc>
        <w:tc>
          <w:tcPr>
            <w:tcW w:w="5681" w:type="dxa"/>
            <w:shd w:val="clear" w:color="auto" w:fill="auto"/>
            <w:vAlign w:val="center"/>
          </w:tcPr>
          <w:p>
            <w:pPr>
              <w:shd w:val="clear"/>
              <w:jc w:val="both"/>
              <w:rPr>
                <w:rFonts w:hint="eastAsia" w:ascii="宋体"/>
                <w:sz w:val="24"/>
                <w:szCs w:val="24"/>
                <w:shd w:val="clear" w:color="auto" w:fill="auto"/>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第1部分 化学品及企业标识</w:t>
      </w:r>
    </w:p>
    <w:p>
      <w:pPr>
        <w:spacing w:line="360" w:lineRule="auto"/>
        <w:rPr>
          <w:rFonts w:hint="default" w:asciiTheme="minorHAnsi" w:hAnsiTheme="minorHAnsi" w:eastAsiaTheme="minorEastAsia" w:cstheme="minorBidi"/>
          <w:b w:val="0"/>
          <w:i w:val="0"/>
          <w:caps w:val="0"/>
          <w:color w:val="333333"/>
          <w:spacing w:val="0"/>
          <w:kern w:val="0"/>
          <w:sz w:val="24"/>
          <w:szCs w:val="24"/>
          <w:shd w:val="clear" w:color="auto" w:fill="auto"/>
          <w:lang w:val="en-US" w:eastAsia="zh-CN" w:bidi="ar"/>
        </w:rPr>
      </w:pPr>
      <w:r>
        <w:rPr>
          <w:rFonts w:hint="eastAsia" w:ascii="宋体" w:hAnsi="宋体" w:eastAsia="宋体" w:cs="宋体"/>
          <w:b/>
          <w:i w:val="0"/>
          <w:caps w:val="0"/>
          <w:color w:val="333333"/>
          <w:spacing w:val="0"/>
          <w:sz w:val="24"/>
          <w:szCs w:val="24"/>
          <w:shd w:val="clear" w:color="auto" w:fill="auto"/>
        </w:rPr>
        <w:t>化学品中文名</w:t>
      </w:r>
      <w:r>
        <w:rPr>
          <w:rFonts w:ascii="Times New Roman" w:hAnsi="Times New Roman" w:eastAsia="黑体" w:cs="Times New Roman"/>
          <w:sz w:val="24"/>
          <w:szCs w:val="24"/>
        </w:rPr>
        <w:t>：</w:t>
      </w:r>
      <w:r>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t>3-苯丙酸</w:t>
      </w:r>
    </w:p>
    <w:p>
      <w:pPr>
        <w:spacing w:line="360" w:lineRule="auto"/>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pPr>
      <w:r>
        <w:rPr>
          <w:rFonts w:hint="eastAsia" w:ascii="宋体" w:hAnsi="宋体" w:eastAsia="宋体" w:cs="宋体"/>
          <w:b/>
          <w:i w:val="0"/>
          <w:caps w:val="0"/>
          <w:color w:val="333333"/>
          <w:spacing w:val="0"/>
          <w:sz w:val="24"/>
          <w:szCs w:val="24"/>
          <w:shd w:val="clear" w:color="auto" w:fill="auto"/>
        </w:rPr>
        <w:t>化学品英文名</w:t>
      </w:r>
      <w:r>
        <w:rPr>
          <w:rFonts w:ascii="Times New Roman" w:hAnsi="Times New Roman" w:eastAsia="黑体" w:cs="Times New Roman"/>
          <w:sz w:val="24"/>
          <w:szCs w:val="24"/>
        </w:rPr>
        <w:t>：</w:t>
      </w:r>
      <w:r>
        <w:rPr>
          <w:rFonts w:ascii="宋体" w:hAnsi="宋体" w:eastAsia="宋体" w:cs="宋体"/>
          <w:kern w:val="0"/>
          <w:sz w:val="24"/>
          <w:szCs w:val="24"/>
          <w:shd w:val="clear" w:color="auto" w:fill="auto"/>
          <w:lang w:val="en-US" w:eastAsia="zh-CN" w:bidi="ar"/>
        </w:rPr>
        <w:t>3-phenylpropionic acid</w:t>
      </w:r>
      <w:r>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t xml:space="preserve"> </w:t>
      </w:r>
    </w:p>
    <w:p>
      <w:pPr>
        <w:spacing w:line="360" w:lineRule="auto"/>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pPr>
      <w:r>
        <w:rPr>
          <w:rFonts w:hint="eastAsia" w:ascii="宋体" w:hAnsi="宋体" w:eastAsia="宋体" w:cs="宋体"/>
          <w:b/>
          <w:i w:val="0"/>
          <w:caps w:val="0"/>
          <w:color w:val="333333"/>
          <w:spacing w:val="0"/>
          <w:sz w:val="24"/>
          <w:szCs w:val="24"/>
          <w:shd w:val="clear" w:color="auto" w:fill="auto"/>
        </w:rPr>
        <w:t>企业名称</w:t>
      </w:r>
      <w:r>
        <w:rPr>
          <w:rFonts w:ascii="Times New Roman" w:hAnsi="Times New Roman" w:eastAsia="黑体" w:cs="Times New Roman"/>
          <w:sz w:val="24"/>
          <w:szCs w:val="24"/>
        </w:rPr>
        <w:t>：</w:t>
      </w:r>
      <w:r>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t>武汉能迈科实业有限公司</w:t>
      </w:r>
    </w:p>
    <w:p>
      <w:pPr>
        <w:spacing w:line="360" w:lineRule="auto"/>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pPr>
      <w:r>
        <w:rPr>
          <w:rFonts w:hint="eastAsia" w:ascii="宋体" w:hAnsi="宋体" w:eastAsia="宋体" w:cs="宋体"/>
          <w:b/>
          <w:i w:val="0"/>
          <w:caps w:val="0"/>
          <w:color w:val="333333"/>
          <w:spacing w:val="0"/>
          <w:sz w:val="24"/>
          <w:szCs w:val="24"/>
          <w:shd w:val="clear" w:color="auto" w:fill="auto"/>
        </w:rPr>
        <w:t>企业地址</w:t>
      </w:r>
      <w:r>
        <w:rPr>
          <w:rFonts w:ascii="Times New Roman" w:hAnsi="Times New Roman" w:eastAsia="黑体" w:cs="Times New Roman"/>
          <w:sz w:val="24"/>
          <w:szCs w:val="24"/>
        </w:rPr>
        <w:t>：</w:t>
      </w:r>
      <w:r>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t>武汉市江岸区塔子湖东路18号</w:t>
      </w:r>
    </w:p>
    <w:p>
      <w:pPr>
        <w:spacing w:line="360" w:lineRule="auto"/>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pPr>
      <w:r>
        <w:rPr>
          <w:rFonts w:hint="eastAsia" w:ascii="宋体" w:hAnsi="宋体" w:eastAsia="宋体" w:cs="宋体"/>
          <w:b/>
          <w:i w:val="0"/>
          <w:caps w:val="0"/>
          <w:color w:val="333333"/>
          <w:spacing w:val="0"/>
          <w:sz w:val="24"/>
          <w:szCs w:val="24"/>
          <w:shd w:val="clear" w:color="auto" w:fill="auto"/>
        </w:rPr>
        <w:t>联系电话</w:t>
      </w:r>
      <w:r>
        <w:rPr>
          <w:rFonts w:ascii="Times New Roman" w:hAnsi="Times New Roman" w:eastAsia="黑体" w:cs="Times New Roman"/>
          <w:sz w:val="24"/>
          <w:szCs w:val="24"/>
        </w:rPr>
        <w:t>：</w:t>
      </w:r>
      <w:r>
        <w:rPr>
          <w:rFonts w:hint="eastAsia" w:asciiTheme="minorHAnsi" w:hAnsiTheme="minorHAnsi" w:eastAsiaTheme="minorEastAsia" w:cstheme="minorBidi"/>
          <w:b w:val="0"/>
          <w:i w:val="0"/>
          <w:caps w:val="0"/>
          <w:color w:val="333333"/>
          <w:spacing w:val="0"/>
          <w:kern w:val="0"/>
          <w:sz w:val="24"/>
          <w:szCs w:val="24"/>
          <w:shd w:val="clear" w:color="auto" w:fill="auto"/>
          <w:lang w:val="en-US" w:eastAsia="zh-CN" w:bidi="ar"/>
        </w:rPr>
        <w:t>027-83916065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第2部分 危险性概述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紧急情况概述：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GHS危险性类别：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无危害分类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标签要素：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象形图：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无危险图标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警示词：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rFonts w:hint="eastAsia" w:ascii="宋体" w:hAnsi="宋体" w:eastAsia="宋体" w:cs="宋体"/>
          <w:b w:val="0"/>
          <w:i w:val="0"/>
          <w:caps w:val="0"/>
          <w:color w:val="333333"/>
          <w:spacing w:val="0"/>
          <w:sz w:val="24"/>
          <w:szCs w:val="24"/>
          <w:shd w:val="clear" w:color="auto" w:fill="auto"/>
        </w:rPr>
        <w:t>无警示词。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危险性说明：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防范说明：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rPr>
          <w:shd w:val="clear" w:color="auto" w:fill="auto"/>
        </w:rPr>
      </w:pPr>
      <w:r>
        <w:rPr>
          <w:rFonts w:hint="eastAsia" w:ascii="宋体" w:hAnsi="宋体" w:eastAsia="宋体" w:cs="宋体"/>
          <w:b w:val="0"/>
          <w:i w:val="0"/>
          <w:caps w:val="0"/>
          <w:color w:val="333333"/>
          <w:spacing w:val="0"/>
          <w:sz w:val="24"/>
          <w:szCs w:val="24"/>
          <w:shd w:val="clear" w:color="auto" w:fill="auto"/>
        </w:rPr>
        <w:t>预防措施：</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rPr>
          <w:shd w:val="clear" w:color="auto" w:fill="auto"/>
        </w:rPr>
      </w:pPr>
      <w:r>
        <w:rPr>
          <w:rFonts w:hint="eastAsia" w:ascii="宋体" w:hAnsi="宋体" w:eastAsia="宋体" w:cs="宋体"/>
          <w:b w:val="0"/>
          <w:i w:val="0"/>
          <w:caps w:val="0"/>
          <w:color w:val="333333"/>
          <w:spacing w:val="0"/>
          <w:sz w:val="24"/>
          <w:szCs w:val="24"/>
          <w:shd w:val="clear" w:color="auto" w:fill="auto"/>
        </w:rPr>
        <w:t>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rPr>
          <w:shd w:val="clear" w:color="auto" w:fill="auto"/>
        </w:rPr>
      </w:pPr>
      <w:r>
        <w:rPr>
          <w:rFonts w:hint="eastAsia" w:ascii="宋体" w:hAnsi="宋体" w:eastAsia="宋体" w:cs="宋体"/>
          <w:b w:val="0"/>
          <w:i w:val="0"/>
          <w:caps w:val="0"/>
          <w:color w:val="333333"/>
          <w:spacing w:val="0"/>
          <w:sz w:val="24"/>
          <w:szCs w:val="24"/>
          <w:shd w:val="clear" w:color="auto" w:fill="auto"/>
        </w:rPr>
        <w:t>事故响应：</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shd w:val="clear"/>
        <w:tabs>
          <w:tab w:val="left" w:pos="1440"/>
        </w:tabs>
        <w:spacing w:before="0" w:beforeAutospacing="0" w:after="0" w:afterAutospacing="0"/>
        <w:ind w:left="0" w:right="0" w:hanging="360"/>
        <w:rPr>
          <w:shd w:val="clear" w:color="auto" w:fill="auto"/>
        </w:rPr>
      </w:pPr>
      <w:r>
        <w:rPr>
          <w:rFonts w:hint="eastAsia" w:ascii="宋体" w:hAnsi="宋体" w:eastAsia="宋体" w:cs="宋体"/>
          <w:b w:val="0"/>
          <w:i w:val="0"/>
          <w:caps w:val="0"/>
          <w:color w:val="333333"/>
          <w:spacing w:val="0"/>
          <w:sz w:val="24"/>
          <w:szCs w:val="24"/>
          <w:shd w:val="clear" w:color="auto" w:fill="auto"/>
        </w:rPr>
        <w:t>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rPr>
          <w:shd w:val="clear" w:color="auto" w:fill="auto"/>
        </w:rPr>
      </w:pPr>
      <w:r>
        <w:rPr>
          <w:rFonts w:hint="eastAsia" w:ascii="宋体" w:hAnsi="宋体" w:eastAsia="宋体" w:cs="宋体"/>
          <w:b w:val="0"/>
          <w:i w:val="0"/>
          <w:caps w:val="0"/>
          <w:color w:val="333333"/>
          <w:spacing w:val="0"/>
          <w:sz w:val="24"/>
          <w:szCs w:val="24"/>
          <w:shd w:val="clear" w:color="auto" w:fill="auto"/>
        </w:rPr>
        <w:t>安全储存：</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shd w:val="clear"/>
        <w:tabs>
          <w:tab w:val="left" w:pos="1440"/>
        </w:tabs>
        <w:spacing w:before="0" w:beforeAutospacing="0" w:after="0" w:afterAutospacing="0"/>
        <w:ind w:left="0" w:right="0" w:hanging="360"/>
        <w:rPr>
          <w:shd w:val="clear" w:color="auto" w:fill="auto"/>
        </w:rPr>
      </w:pPr>
      <w:r>
        <w:rPr>
          <w:rFonts w:hint="eastAsia" w:ascii="宋体" w:hAnsi="宋体" w:eastAsia="宋体" w:cs="宋体"/>
          <w:b w:val="0"/>
          <w:i w:val="0"/>
          <w:caps w:val="0"/>
          <w:color w:val="333333"/>
          <w:spacing w:val="0"/>
          <w:sz w:val="24"/>
          <w:szCs w:val="24"/>
          <w:shd w:val="clear" w:color="auto" w:fill="auto"/>
        </w:rPr>
        <w:t>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rPr>
          <w:shd w:val="clear" w:color="auto" w:fill="auto"/>
        </w:rPr>
      </w:pPr>
      <w:r>
        <w:rPr>
          <w:rFonts w:hint="eastAsia" w:ascii="宋体" w:hAnsi="宋体" w:eastAsia="宋体" w:cs="宋体"/>
          <w:b w:val="0"/>
          <w:i w:val="0"/>
          <w:caps w:val="0"/>
          <w:color w:val="333333"/>
          <w:spacing w:val="0"/>
          <w:sz w:val="24"/>
          <w:szCs w:val="24"/>
          <w:shd w:val="clear" w:color="auto" w:fill="auto"/>
        </w:rPr>
        <w:t>废弃处置：</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shd w:val="clear"/>
        <w:tabs>
          <w:tab w:val="left" w:pos="1440"/>
        </w:tabs>
        <w:spacing w:before="0" w:beforeAutospacing="0" w:after="0" w:afterAutospacing="0"/>
        <w:ind w:left="0" w:right="0" w:hanging="360"/>
        <w:rPr>
          <w:shd w:val="clear" w:color="auto" w:fill="auto"/>
        </w:rPr>
      </w:pPr>
      <w:r>
        <w:rPr>
          <w:rFonts w:hint="eastAsia" w:ascii="宋体" w:hAnsi="宋体" w:eastAsia="宋体" w:cs="宋体"/>
          <w:b w:val="0"/>
          <w:i w:val="0"/>
          <w:caps w:val="0"/>
          <w:color w:val="333333"/>
          <w:spacing w:val="0"/>
          <w:sz w:val="24"/>
          <w:szCs w:val="24"/>
          <w:shd w:val="clear" w:color="auto" w:fill="auto"/>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物理和化学危险：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健康危害：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环境危害：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无资料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第3部分 成分/组成信息</w:t>
      </w:r>
    </w:p>
    <w:tbl>
      <w:tblPr>
        <w:tblStyle w:val="6"/>
        <w:tblW w:w="10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80"/>
        <w:gridCol w:w="4270"/>
        <w:gridCol w:w="2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4" w:hRule="atLeast"/>
        </w:trPr>
        <w:tc>
          <w:tcPr>
            <w:tcW w:w="418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b w:val="0"/>
                <w:i w:val="0"/>
                <w:shd w:val="clear" w:color="auto" w:fill="auto"/>
              </w:rPr>
            </w:pPr>
            <w:r>
              <w:rPr>
                <w:rFonts w:ascii="宋体" w:hAnsi="宋体" w:eastAsia="宋体" w:cs="宋体"/>
                <w:b w:val="0"/>
                <w:i w:val="0"/>
                <w:kern w:val="0"/>
                <w:sz w:val="24"/>
                <w:szCs w:val="24"/>
                <w:shd w:val="clear" w:color="auto" w:fill="auto"/>
                <w:lang w:val="en-US" w:eastAsia="zh-CN" w:bidi="ar"/>
              </w:rPr>
              <w:t>组分</w:t>
            </w:r>
          </w:p>
        </w:tc>
        <w:tc>
          <w:tcPr>
            <w:tcW w:w="427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b w:val="0"/>
                <w:i w:val="0"/>
                <w:shd w:val="clear" w:color="auto" w:fill="auto"/>
              </w:rPr>
            </w:pPr>
            <w:r>
              <w:rPr>
                <w:rFonts w:ascii="宋体" w:hAnsi="宋体" w:eastAsia="宋体" w:cs="宋体"/>
                <w:b w:val="0"/>
                <w:i w:val="0"/>
                <w:kern w:val="0"/>
                <w:sz w:val="24"/>
                <w:szCs w:val="24"/>
                <w:shd w:val="clear" w:color="auto" w:fill="auto"/>
                <w:lang w:val="en-US" w:eastAsia="zh-CN" w:bidi="ar"/>
              </w:rPr>
              <w:t>浓度或浓度范围(质量分数，%)</w:t>
            </w:r>
          </w:p>
        </w:tc>
        <w:tc>
          <w:tcPr>
            <w:tcW w:w="206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b w:val="0"/>
                <w:i w:val="0"/>
                <w:shd w:val="clear" w:color="auto" w:fill="auto"/>
              </w:rPr>
            </w:pPr>
            <w:r>
              <w:rPr>
                <w:rFonts w:ascii="宋体" w:hAnsi="宋体" w:eastAsia="宋体" w:cs="宋体"/>
                <w:b w:val="0"/>
                <w:i w:val="0"/>
                <w:kern w:val="0"/>
                <w:sz w:val="24"/>
                <w:szCs w:val="24"/>
                <w:shd w:val="clear" w:color="auto" w:fill="auto"/>
                <w:lang w:val="en-US" w:eastAsia="zh-CN" w:bidi="ar"/>
              </w:rPr>
              <w:t>CAS 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18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3-phenylpropionic acid</w:t>
            </w:r>
          </w:p>
        </w:tc>
        <w:tc>
          <w:tcPr>
            <w:tcW w:w="427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hint="eastAsia" w:ascii="宋体" w:hAnsi="宋体" w:eastAsia="宋体" w:cs="宋体"/>
                <w:kern w:val="0"/>
                <w:sz w:val="24"/>
                <w:szCs w:val="24"/>
                <w:shd w:val="clear" w:color="auto" w:fill="auto"/>
                <w:lang w:val="en-US" w:eastAsia="zh-CN" w:bidi="ar"/>
              </w:rPr>
              <w:t>＞99</w:t>
            </w:r>
            <w:r>
              <w:rPr>
                <w:rFonts w:ascii="宋体" w:hAnsi="宋体" w:eastAsia="宋体" w:cs="宋体"/>
                <w:kern w:val="0"/>
                <w:sz w:val="24"/>
                <w:szCs w:val="24"/>
                <w:shd w:val="clear" w:color="auto" w:fill="auto"/>
                <w:lang w:val="en-US" w:eastAsia="zh-CN" w:bidi="ar"/>
              </w:rPr>
              <w:t>%</w:t>
            </w:r>
          </w:p>
        </w:tc>
        <w:tc>
          <w:tcPr>
            <w:tcW w:w="206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501-52-0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第4部分 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急 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吸 入: 如果吸入，请将患者移到新鲜空气处。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皮肤接触: 脱去污染的衣着，用肥皂水和清水彻底冲洗皮肤。如有不适感，就医。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眼晴接触: 分开眼睑，用流动清水或生理盐水冲洗。立即就医。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食 入: 漱口，禁止催吐。立即就医。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对保护施救者的忠告：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将患者转移到安全的场所。咨询医生。出示此化学品安全技术说明书给到现场的医生看。</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对医生的特别提示：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无资料。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第5部分 消防措施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灭火剂：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用水雾、干粉、泡沫或二氧化碳灭火剂灭火。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避免使用直流水灭火，直流水可能导致可燃性液体的飞溅，使火势扩散。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特别危险性：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灭火注意事项及防护措施：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消防人员须佩戴携气式呼吸器，穿全身消防服，在上风向灭火。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尽可能将容器从火场移至空旷处。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处在火场中的容器若已变色或从安全泄压装置中发出声音，必须马上撤离。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隔离事故现场，禁止无关人员进入。收容和处理消防水，防止污染环境。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第6部分 泄露应急处理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作业人员防护措施、防护装备和应急处置程序：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建议应急处理人员戴携气式呼吸器，穿防静电服，戴橡胶耐油手套。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禁止接触或跨越泄漏物。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作业时使用的所有设备应接地。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尽可能切断泄漏源。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消除所有点火源。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根据液体流动、蒸汽或粉尘扩散的影响区域划定警戒区，无关人员从侧风、上风向撤离至安全区。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环境保护措施：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收容泄漏物，避免污染环境。防止泄漏物进入下水道、地表水和地下水。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泄漏化学品的收容、清除方法及所使用的处置材料：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小量泄漏：尽可能将泄漏液体收集在可密闭的容器中。用沙土、活性炭或其它惰性材料吸收，并转移至安全场所。禁止冲入下水道。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大量泄漏：构筑围堤或挖坑收容。封闭排水管道。用泡沫覆盖，抑制蒸发。用防爆泵转移至槽车或专用收集器内，回收或运至废物处理场所处置。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第7部分 操作处置与储存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操作注意事项：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操作人员应经过专门培训，严格遵守操作规程。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操作处置应在具备局部通风或全面通风换气设施的场所进行。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避免眼和皮肤的接触，避免吸入蒸汽。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个体防护措施参见第8部分。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远离火种、热源，工作场所严禁吸烟。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使用防爆型的通风系统和设备。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如需罐装，应控制流速，且有接地装置，防止静电积聚。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避免与氧化剂等禁配物接触（禁配物参见第10部分）。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搬运时要轻装轻卸，防止包装及容器损坏。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倒空的容器可能残留有害物。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使用后洗手，禁止在工作场所进饮食。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配备相应品种和数量的消防器材及泄漏应急处理设备。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储存注意事项：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储存于阴凉、通风的库房。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库温不宜超过37°C。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应与氧化剂、食用化学品分开存放，切忌混储（禁配物参见第10部分）。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保持容器密封。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远离火种、热源。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库房必须安装避雷设备。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排风系统应设有导除静电的接地装置。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采用防爆型照明、通风设置。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禁止使用易产生火花的设备和工具。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储区应备有泄漏应急处理设备和合适的收容材料。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第8部分 接触控制/个体防护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职业接触限值：</w:t>
      </w:r>
    </w:p>
    <w:tbl>
      <w:tblPr>
        <w:tblStyle w:val="6"/>
        <w:tblW w:w="10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00"/>
        <w:gridCol w:w="1316"/>
        <w:gridCol w:w="2467"/>
        <w:gridCol w:w="1678"/>
        <w:gridCol w:w="1000"/>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blHeader/>
        </w:trPr>
        <w:tc>
          <w:tcPr>
            <w:tcW w:w="31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b w:val="0"/>
                <w:i w:val="0"/>
                <w:shd w:val="clear" w:color="auto" w:fill="auto"/>
              </w:rPr>
            </w:pPr>
            <w:r>
              <w:rPr>
                <w:rFonts w:ascii="宋体" w:hAnsi="宋体" w:eastAsia="宋体" w:cs="宋体"/>
                <w:b w:val="0"/>
                <w:i w:val="0"/>
                <w:kern w:val="0"/>
                <w:sz w:val="24"/>
                <w:szCs w:val="24"/>
                <w:shd w:val="clear" w:color="auto" w:fill="auto"/>
                <w:lang w:val="en-US" w:eastAsia="zh-CN" w:bidi="ar"/>
              </w:rPr>
              <w:t>组分名称</w:t>
            </w:r>
          </w:p>
        </w:tc>
        <w:tc>
          <w:tcPr>
            <w:tcW w:w="13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b w:val="0"/>
                <w:i w:val="0"/>
                <w:shd w:val="clear" w:color="auto" w:fill="auto"/>
              </w:rPr>
            </w:pPr>
            <w:r>
              <w:rPr>
                <w:rFonts w:ascii="宋体" w:hAnsi="宋体" w:eastAsia="宋体" w:cs="宋体"/>
                <w:b w:val="0"/>
                <w:i w:val="0"/>
                <w:kern w:val="0"/>
                <w:sz w:val="24"/>
                <w:szCs w:val="24"/>
                <w:shd w:val="clear" w:color="auto" w:fill="auto"/>
                <w:lang w:val="en-US" w:eastAsia="zh-CN" w:bidi="ar"/>
              </w:rPr>
              <w:t>CAS</w:t>
            </w:r>
          </w:p>
        </w:tc>
        <w:tc>
          <w:tcPr>
            <w:tcW w:w="246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b w:val="0"/>
                <w:i w:val="0"/>
                <w:shd w:val="clear" w:color="auto" w:fill="auto"/>
              </w:rPr>
            </w:pPr>
            <w:r>
              <w:rPr>
                <w:rFonts w:ascii="宋体" w:hAnsi="宋体" w:eastAsia="宋体" w:cs="宋体"/>
                <w:b w:val="0"/>
                <w:i w:val="0"/>
                <w:kern w:val="0"/>
                <w:sz w:val="24"/>
                <w:szCs w:val="24"/>
                <w:shd w:val="clear" w:color="auto" w:fill="auto"/>
                <w:lang w:val="en-US" w:eastAsia="zh-CN" w:bidi="ar"/>
              </w:rPr>
              <w:t>标准来源</w:t>
            </w:r>
          </w:p>
        </w:tc>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b w:val="0"/>
                <w:i w:val="0"/>
                <w:shd w:val="clear" w:color="auto" w:fill="auto"/>
              </w:rPr>
            </w:pPr>
            <w:r>
              <w:rPr>
                <w:rFonts w:ascii="宋体" w:hAnsi="宋体" w:eastAsia="宋体" w:cs="宋体"/>
                <w:b w:val="0"/>
                <w:i w:val="0"/>
                <w:kern w:val="0"/>
                <w:sz w:val="24"/>
                <w:szCs w:val="24"/>
                <w:shd w:val="clear" w:color="auto" w:fill="auto"/>
                <w:lang w:val="en-US" w:eastAsia="zh-CN" w:bidi="ar"/>
              </w:rPr>
              <w:t>类型</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b w:val="0"/>
                <w:i w:val="0"/>
                <w:shd w:val="clear" w:color="auto" w:fill="auto"/>
              </w:rPr>
            </w:pPr>
            <w:r>
              <w:rPr>
                <w:rFonts w:ascii="宋体" w:hAnsi="宋体" w:eastAsia="宋体" w:cs="宋体"/>
                <w:b w:val="0"/>
                <w:i w:val="0"/>
                <w:kern w:val="0"/>
                <w:sz w:val="24"/>
                <w:szCs w:val="24"/>
                <w:shd w:val="clear" w:color="auto" w:fill="auto"/>
                <w:lang w:val="en-US" w:eastAsia="zh-CN" w:bidi="ar"/>
              </w:rPr>
              <w:t>标准值</w:t>
            </w:r>
          </w:p>
        </w:tc>
        <w:tc>
          <w:tcPr>
            <w:tcW w:w="9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b w:val="0"/>
                <w:i w:val="0"/>
                <w:shd w:val="clear" w:color="auto" w:fill="auto"/>
              </w:rPr>
            </w:pPr>
            <w:r>
              <w:rPr>
                <w:rFonts w:ascii="宋体" w:hAnsi="宋体" w:eastAsia="宋体" w:cs="宋体"/>
                <w:b w:val="0"/>
                <w:i w:val="0"/>
                <w:kern w:val="0"/>
                <w:sz w:val="24"/>
                <w:szCs w:val="24"/>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1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3-phenylprop</w:t>
            </w:r>
            <w:bookmarkStart w:id="0" w:name="_GoBack"/>
            <w:r>
              <w:rPr>
                <w:rFonts w:ascii="宋体" w:hAnsi="宋体" w:eastAsia="宋体" w:cs="宋体"/>
                <w:kern w:val="0"/>
                <w:sz w:val="24"/>
                <w:szCs w:val="24"/>
                <w:shd w:val="clear" w:color="auto" w:fill="auto"/>
                <w:lang w:val="en-US" w:eastAsia="zh-CN" w:bidi="ar"/>
              </w:rPr>
              <w:t>ioni</w:t>
            </w:r>
            <w:bookmarkEnd w:id="0"/>
            <w:r>
              <w:rPr>
                <w:rFonts w:ascii="宋体" w:hAnsi="宋体" w:eastAsia="宋体" w:cs="宋体"/>
                <w:kern w:val="0"/>
                <w:sz w:val="24"/>
                <w:szCs w:val="24"/>
                <w:shd w:val="clear" w:color="auto" w:fill="auto"/>
                <w:lang w:val="en-US" w:eastAsia="zh-CN" w:bidi="ar"/>
              </w:rPr>
              <w:t>c acid</w:t>
            </w:r>
          </w:p>
        </w:tc>
        <w:tc>
          <w:tcPr>
            <w:tcW w:w="131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501-52-0</w:t>
            </w:r>
          </w:p>
        </w:tc>
        <w:tc>
          <w:tcPr>
            <w:tcW w:w="246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GBZ 2.1——2007</w:t>
            </w:r>
          </w:p>
        </w:tc>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MAC</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w:t>
            </w:r>
          </w:p>
        </w:tc>
        <w:tc>
          <w:tcPr>
            <w:tcW w:w="99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未规定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1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hd w:val="clear"/>
              <w:jc w:val="center"/>
              <w:rPr>
                <w:rFonts w:hint="eastAsia" w:ascii="宋体"/>
                <w:sz w:val="24"/>
                <w:szCs w:val="24"/>
                <w:shd w:val="clear" w:color="auto" w:fill="auto"/>
              </w:rPr>
            </w:pPr>
          </w:p>
        </w:tc>
        <w:tc>
          <w:tcPr>
            <w:tcW w:w="131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hd w:val="clear"/>
              <w:jc w:val="center"/>
              <w:rPr>
                <w:rFonts w:hint="eastAsia" w:ascii="宋体"/>
                <w:sz w:val="24"/>
                <w:szCs w:val="24"/>
                <w:shd w:val="clear" w:color="auto" w:fill="auto"/>
              </w:rPr>
            </w:pPr>
          </w:p>
        </w:tc>
        <w:tc>
          <w:tcPr>
            <w:tcW w:w="24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hd w:val="clear"/>
              <w:jc w:val="center"/>
              <w:rPr>
                <w:rFonts w:hint="eastAsia" w:ascii="宋体"/>
                <w:sz w:val="24"/>
                <w:szCs w:val="24"/>
                <w:shd w:val="clear" w:color="auto" w:fill="auto"/>
              </w:rPr>
            </w:pPr>
          </w:p>
        </w:tc>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PC-TWA</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w:t>
            </w:r>
          </w:p>
        </w:tc>
        <w:tc>
          <w:tcPr>
            <w:tcW w:w="99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hd w:val="clear"/>
              <w:jc w:val="center"/>
              <w:rPr>
                <w:rFonts w:hint="eastAsia" w:ascii="宋体"/>
                <w:sz w:val="24"/>
                <w:szCs w:val="24"/>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31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hd w:val="clear"/>
              <w:jc w:val="center"/>
              <w:rPr>
                <w:rFonts w:hint="eastAsia" w:ascii="宋体"/>
                <w:sz w:val="24"/>
                <w:szCs w:val="24"/>
                <w:shd w:val="clear" w:color="auto" w:fill="auto"/>
              </w:rPr>
            </w:pPr>
          </w:p>
        </w:tc>
        <w:tc>
          <w:tcPr>
            <w:tcW w:w="131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hd w:val="clear"/>
              <w:jc w:val="center"/>
              <w:rPr>
                <w:rFonts w:hint="eastAsia" w:ascii="宋体"/>
                <w:sz w:val="24"/>
                <w:szCs w:val="24"/>
                <w:shd w:val="clear" w:color="auto" w:fill="auto"/>
              </w:rPr>
            </w:pPr>
          </w:p>
        </w:tc>
        <w:tc>
          <w:tcPr>
            <w:tcW w:w="246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hd w:val="clear"/>
              <w:jc w:val="center"/>
              <w:rPr>
                <w:rFonts w:hint="eastAsia" w:ascii="宋体"/>
                <w:sz w:val="24"/>
                <w:szCs w:val="24"/>
                <w:shd w:val="clear" w:color="auto" w:fill="auto"/>
              </w:rPr>
            </w:pPr>
          </w:p>
        </w:tc>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PC-STEL</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hd w:val="clear"/>
              <w:spacing w:before="0" w:beforeAutospacing="0" w:after="0" w:afterAutospacing="0" w:line="315" w:lineRule="atLeast"/>
              <w:ind w:left="0" w:right="0"/>
              <w:jc w:val="center"/>
              <w:rPr>
                <w:shd w:val="clear" w:color="auto" w:fill="auto"/>
              </w:rPr>
            </w:pPr>
            <w:r>
              <w:rPr>
                <w:rFonts w:ascii="宋体" w:hAnsi="宋体" w:eastAsia="宋体" w:cs="宋体"/>
                <w:kern w:val="0"/>
                <w:sz w:val="24"/>
                <w:szCs w:val="24"/>
                <w:shd w:val="clear" w:color="auto" w:fill="auto"/>
                <w:lang w:val="en-US" w:eastAsia="zh-CN" w:bidi="ar"/>
              </w:rPr>
              <w:t>-</w:t>
            </w:r>
          </w:p>
        </w:tc>
        <w:tc>
          <w:tcPr>
            <w:tcW w:w="99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hd w:val="clear"/>
              <w:jc w:val="center"/>
              <w:rPr>
                <w:rFonts w:hint="eastAsia" w:ascii="宋体"/>
                <w:sz w:val="24"/>
                <w:szCs w:val="24"/>
                <w:shd w:val="clear" w:color="auto" w:fill="auto"/>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生物限制：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监测方法：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GBZ/T 160.1 ~ GBZ/T 160.81-2004 工作场所空气有毒物质测定（系列标准）, EN 14042 工作场所空气 用于评估暴露于化学或生物试剂的程序指南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工程控制：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作业场所建议与其它作业场所分开。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密闭操作，防止泄漏。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加强通风。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设置自动报警装置和事故通风设施。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设置应急撤离通道和必要的泻险区。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设置红色区域警示线、警示标识和中文警示说明，并设置通讯报警系统。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提供安全淋浴和洗眼设备。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个体防护装备：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呼吸系统防护：空气中浓度超标时，佩戴过滤式防毒面具（半面罩）。紧急事态抢救或撤离时，应该佩戴携气式呼吸器。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手防护：戴橡胶耐油手套。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眼睛防护：戴化学安全防护眼睛。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皮肤和身体防护：穿防毒物渗透工作服。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第9部分 理化特性</w:t>
      </w:r>
    </w:p>
    <w:tbl>
      <w:tblPr>
        <w:tblStyle w:val="6"/>
        <w:tblW w:w="104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66"/>
        <w:gridCol w:w="4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566"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外观与性状：白色晶体块</w:t>
            </w:r>
          </w:p>
        </w:tc>
        <w:tc>
          <w:tcPr>
            <w:tcW w:w="4917"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气味：无资料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66"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pH值：无资料</w:t>
            </w:r>
          </w:p>
        </w:tc>
        <w:tc>
          <w:tcPr>
            <w:tcW w:w="4917"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熔点/凝固点（°C）：45-48 °C(lit.)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66"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沸点、初沸点和沸程（°C）：280 °C(lit.)</w:t>
            </w:r>
          </w:p>
        </w:tc>
        <w:tc>
          <w:tcPr>
            <w:tcW w:w="4917"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自燃温度（°C）：无资料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66"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闪点（°C）：65°C(lit.)</w:t>
            </w:r>
          </w:p>
        </w:tc>
        <w:tc>
          <w:tcPr>
            <w:tcW w:w="4917"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分解温度（°C）：无资料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66"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爆炸极限［％（体积分数）］：无资料</w:t>
            </w:r>
          </w:p>
        </w:tc>
        <w:tc>
          <w:tcPr>
            <w:tcW w:w="4917"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蒸发速率［乙酸（正）丁酯以1计］：无资料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66"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饱合蒸气压（kPa）：无资料</w:t>
            </w:r>
          </w:p>
        </w:tc>
        <w:tc>
          <w:tcPr>
            <w:tcW w:w="4917"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易燃性（固体、气体）：无资料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66"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相对密度(水以1计)：1.071 g/mL at 25 °C(lit.)</w:t>
            </w:r>
          </w:p>
        </w:tc>
        <w:tc>
          <w:tcPr>
            <w:tcW w:w="4917"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蒸气密度（空气以1计）：无资料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66"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气味阈值（mg/m3）：无资料</w:t>
            </w:r>
          </w:p>
        </w:tc>
        <w:tc>
          <w:tcPr>
            <w:tcW w:w="4917"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n-辛醇/水分配系数（lg P）：无资料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66"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溶解性：无资料</w:t>
            </w:r>
          </w:p>
        </w:tc>
        <w:tc>
          <w:tcPr>
            <w:tcW w:w="4917" w:type="dxa"/>
            <w:tcBorders>
              <w:top w:val="nil"/>
              <w:left w:val="nil"/>
              <w:bottom w:val="nil"/>
              <w:right w:val="nil"/>
            </w:tcBorders>
            <w:shd w:val="clear" w:color="auto" w:fill="auto"/>
            <w:vAlign w:val="top"/>
          </w:tcPr>
          <w:p>
            <w:pPr>
              <w:keepNext w:val="0"/>
              <w:keepLines w:val="0"/>
              <w:widowControl/>
              <w:suppressLineNumbers w:val="0"/>
              <w:shd w:val="clear"/>
              <w:spacing w:before="0" w:beforeAutospacing="0" w:after="0" w:afterAutospacing="0" w:line="315" w:lineRule="atLeast"/>
              <w:ind w:left="0" w:right="0"/>
              <w:jc w:val="left"/>
              <w:textAlignment w:val="top"/>
              <w:rPr>
                <w:shd w:val="clear" w:color="auto" w:fill="auto"/>
              </w:rPr>
            </w:pPr>
            <w:r>
              <w:rPr>
                <w:rFonts w:ascii="宋体" w:hAnsi="宋体" w:eastAsia="宋体" w:cs="宋体"/>
                <w:kern w:val="0"/>
                <w:sz w:val="24"/>
                <w:szCs w:val="24"/>
                <w:shd w:val="clear" w:color="auto" w:fill="auto"/>
                <w:lang w:val="en-US" w:eastAsia="zh-CN" w:bidi="ar"/>
              </w:rPr>
              <w:t>黏度：无资料</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第10部分 稳定性和反应性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稳定性：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正常环境温度下储存和使用，本品稳定。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危险反应：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避免接触的条件：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静电放电、热、潮湿等。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禁配物：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强氧化物，强酸，强碱。</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危险的分解产物：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无资料。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第11部分 毒理学信息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急性毒性：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经口: 无资料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吸入: 无资料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经皮: 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皮肤刺激或腐蚀: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眼睛刺激或腐蚀：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呼吸或皮肤过敏：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生殖细胞突变性：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致癌性：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生殖毒性：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特异性靶器官系统毒性——一次接触：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特异性靶器官系统毒性——反复接触：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吸入危害：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第12部分 生态学信息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生态毒性：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鱼类急性毒性试验: 无资料。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溞类急性活动抑制试验:无资料。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藻类生长抑制试验:无资料。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对微生物的毒性: 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持久性和降解性：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生物富集或生物积累性：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土壤中的迁移性：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无资料。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第13部分 废弃处置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废弃化学品：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尽可能回收利用。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如果不能回收利用，采用焚烧方法进行处置。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不得采用排放到下水道的方式废 弃处置本品。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污染包装物：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将容器返还生产商或按照国家和地方法规处置。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废弃注意事项：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废弃处置前应参阅国家和地方有关法规。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处置人员的安全防范措施参见第8部分。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第14部分 运输信息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联合国编号危险货物编号(UN号)：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val="0"/>
          <w:i w:val="0"/>
          <w:caps w:val="0"/>
          <w:color w:val="333333"/>
          <w:spacing w:val="0"/>
          <w:sz w:val="24"/>
          <w:szCs w:val="24"/>
          <w:shd w:val="clear" w:color="auto" w:fill="auto"/>
          <w:lang w:eastAsia="zh-CN"/>
        </w:rPr>
      </w:pPr>
      <w:r>
        <w:rPr>
          <w:rFonts w:hint="eastAsia" w:ascii="宋体" w:hAnsi="宋体" w:eastAsia="宋体" w:cs="宋体"/>
          <w:b w:val="0"/>
          <w:i w:val="0"/>
          <w:caps w:val="0"/>
          <w:color w:val="333333"/>
          <w:spacing w:val="0"/>
          <w:sz w:val="24"/>
          <w:szCs w:val="24"/>
          <w:shd w:val="clear" w:color="auto" w:fill="auto"/>
          <w:lang w:eastAsia="zh-CN"/>
        </w:rPr>
        <w:t>非危险货物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联合国运输名称：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val="0"/>
          <w:i w:val="0"/>
          <w:caps w:val="0"/>
          <w:color w:val="333333"/>
          <w:spacing w:val="0"/>
          <w:sz w:val="24"/>
          <w:szCs w:val="24"/>
          <w:shd w:val="clear" w:color="auto" w:fill="auto"/>
          <w:lang w:eastAsia="zh-CN"/>
        </w:rPr>
      </w:pPr>
      <w:r>
        <w:rPr>
          <w:rFonts w:hint="eastAsia" w:ascii="宋体" w:hAnsi="宋体" w:eastAsia="宋体" w:cs="宋体"/>
          <w:b w:val="0"/>
          <w:i w:val="0"/>
          <w:caps w:val="0"/>
          <w:color w:val="333333"/>
          <w:spacing w:val="0"/>
          <w:sz w:val="24"/>
          <w:szCs w:val="24"/>
          <w:shd w:val="clear" w:color="auto" w:fill="auto"/>
          <w:lang w:eastAsia="zh-CN"/>
        </w:rPr>
        <w:t>非危险货物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联合国危险性分类：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val="0"/>
          <w:i w:val="0"/>
          <w:caps w:val="0"/>
          <w:color w:val="333333"/>
          <w:spacing w:val="0"/>
          <w:sz w:val="24"/>
          <w:szCs w:val="24"/>
          <w:shd w:val="clear" w:color="auto" w:fill="auto"/>
          <w:lang w:eastAsia="zh-CN"/>
        </w:rPr>
      </w:pPr>
      <w:r>
        <w:rPr>
          <w:rFonts w:hint="eastAsia" w:ascii="宋体" w:hAnsi="宋体" w:eastAsia="宋体" w:cs="宋体"/>
          <w:b w:val="0"/>
          <w:i w:val="0"/>
          <w:caps w:val="0"/>
          <w:color w:val="333333"/>
          <w:spacing w:val="0"/>
          <w:sz w:val="24"/>
          <w:szCs w:val="24"/>
          <w:shd w:val="clear" w:color="auto" w:fill="auto"/>
          <w:lang w:eastAsia="zh-CN"/>
        </w:rPr>
        <w:t>非危险货物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包装类别：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val="0"/>
          <w:i w:val="0"/>
          <w:caps w:val="0"/>
          <w:color w:val="333333"/>
          <w:spacing w:val="0"/>
          <w:sz w:val="24"/>
          <w:szCs w:val="24"/>
          <w:shd w:val="clear" w:color="auto" w:fill="auto"/>
          <w:lang w:eastAsia="zh-CN"/>
        </w:rPr>
      </w:pPr>
      <w:r>
        <w:rPr>
          <w:rFonts w:hint="eastAsia" w:ascii="宋体" w:hAnsi="宋体" w:eastAsia="宋体" w:cs="宋体"/>
          <w:b w:val="0"/>
          <w:i w:val="0"/>
          <w:caps w:val="0"/>
          <w:color w:val="333333"/>
          <w:spacing w:val="0"/>
          <w:sz w:val="24"/>
          <w:szCs w:val="24"/>
          <w:shd w:val="clear" w:color="auto" w:fill="auto"/>
          <w:lang w:eastAsia="zh-CN"/>
        </w:rPr>
        <w:t>非危险货物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包装方法：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rFonts w:hint="eastAsia" w:ascii="宋体" w:hAnsi="宋体" w:eastAsia="宋体" w:cs="宋体"/>
          <w:b w:val="0"/>
          <w:i w:val="0"/>
          <w:caps w:val="0"/>
          <w:color w:val="333333"/>
          <w:spacing w:val="0"/>
          <w:sz w:val="24"/>
          <w:szCs w:val="24"/>
          <w:shd w:val="clear" w:color="auto" w:fill="auto"/>
        </w:rPr>
        <w:t>按照生产商推荐的方法进行包装，例如：开口钢桶。安瓿瓶外普通木箱。螺纹口玻璃瓶、铁盖压口玻璃瓶、塑料瓶或金属桶（罐）外普通木箱等。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海洋污染物(是/否)：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运输注意事项：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运输车辆应配备相应品种和数量的消防器材及泄漏应急处理设备。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严禁与氧化剂、食用化学品等混装混运。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装运该物品的车辆排气管必须配备阻火装置。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使用槽(罐)车运输时应有接地链，槽内可设孔隔板以减少震荡产生静电。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禁止使用易产生火花的机械设备和工具装卸。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夏季最好早晚运输。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运输途中应防暴晒、雨淋，防高温。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中途停留时应远离火种、热源、高温区。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公路运输时要按规定路线行驶，勿在居民区和人口稠密区停留。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铁路运输时要禁止溜放。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严禁用木船、水泥船散装运输。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运输工具上应根据相关运输要求张贴危险标志、公告。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i w:val="0"/>
          <w:caps w:val="0"/>
          <w:color w:val="000000"/>
          <w:spacing w:val="0"/>
          <w:sz w:val="30"/>
          <w:szCs w:val="30"/>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第15部分 法规信息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rFonts w:ascii="Arial" w:hAnsi="Arial" w:cs="Arial"/>
          <w:b w:val="0"/>
          <w:i w:val="0"/>
          <w:caps w:val="0"/>
          <w:color w:val="333333"/>
          <w:spacing w:val="0"/>
          <w:sz w:val="19"/>
          <w:szCs w:val="19"/>
          <w:shd w:val="clear" w:color="auto" w:fill="auto"/>
        </w:rPr>
        <w:t>下列法律、法规、规章和标准，对该化学品的管理作相应的规定: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b w:val="0"/>
          <w:color w:val="333333"/>
          <w:sz w:val="24"/>
          <w:szCs w:val="24"/>
          <w:shd w:val="clear" w:color="auto" w:fill="auto"/>
        </w:rPr>
      </w:pPr>
      <w:r>
        <w:rPr>
          <w:b w:val="0"/>
          <w:i w:val="0"/>
          <w:caps w:val="0"/>
          <w:color w:val="333333"/>
          <w:spacing w:val="0"/>
          <w:sz w:val="24"/>
          <w:szCs w:val="24"/>
          <w:u w:val="single"/>
          <w:shd w:val="clear" w:color="auto" w:fill="auto"/>
        </w:rPr>
        <w:t>组分 3-phenylpropionic acid CAS: 501-52-0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中华人民共和国职业病防止法：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职业病危害因素分类目录(2015): 未列入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危险化学品安全管理条例：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危险品化学品目录（2015）: 未列入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易制爆危险化学品名录（2017）: 未列入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重点监管的危险化学品名录：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首批和第二批重点监管的危险化学品名录: 未列入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危险化学品环境管理登记办法（试行）：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重点环境管理危险化学品目录: 未列入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麻醉药品和精神药品管理条例：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麻醉药品品种目录: 未列入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精神药品品种目录: 未列入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新化学物质环境管理办法：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中国现有化学物质名录(2013): 列入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b w:val="0"/>
          <w:color w:val="000000"/>
          <w:sz w:val="30"/>
          <w:szCs w:val="30"/>
          <w:shd w:val="clear" w:color="auto" w:fill="auto"/>
        </w:rPr>
      </w:pPr>
      <w:r>
        <w:rPr>
          <w:b w:val="0"/>
          <w:i w:val="0"/>
          <w:caps w:val="0"/>
          <w:color w:val="000000"/>
          <w:spacing w:val="0"/>
          <w:sz w:val="30"/>
          <w:szCs w:val="30"/>
          <w:shd w:val="clear" w:color="auto" w:fill="auto"/>
        </w:rPr>
        <w:t>第16部分 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编写和修订信息：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本版为第1.0版，按照GB/T 16483-2008、GB/T 17519-2013、GB 30000系列分类标准编制。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参考文献：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【1】国际化学品安全规划署：国际化学品安全卡（ICSC），网址：http://www.ilo.org/dyn/icsc/showcard.home。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【2】国际癌症研究机构，网址：http://www.iarc.fr/。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【3】OECD 全球化学品信息平台，网址：http://www.echemportal.org/echemportal/index?pageID=0&amp;request_locale=en。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【4】美国 CAMEO 化学物质数据库，网址：http://cameochemicals.noaa.gov/search/simple。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【5】美国医学图书馆:化学品标识数据库，网址：http://chem.sis.nlm.nih.gov/chemidplus/chemidlite.jsp。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【6】美国环境保护署：综合危险性信息系统，网址：http://cfpub.epa.gov/iris/。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【7】美国交通部：应急响应指南，网址：http://www.phmsa.dot.gov/hazmat/library/erg。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【8】德国GESTIS-有害物质数据库，网址：http://gestis-en.itrust.de/。</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缩略语和首字母缩写：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MAC:最高容许浓度(maximum allowable concentration)，指工作地点、在一个工作日内、任何时间有毒化学物质均不应超过的浓度。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PC-TWA:时间加权平均容许浓度(permissible concentration-time weighted average)，指以时间为权数规定的8 h工作日、40 h工作周的平均容许接触浓度。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hd w:val="clear" w:color="auto" w:fill="auto"/>
        </w:rPr>
      </w:pPr>
      <w:r>
        <w:rPr>
          <w:b w:val="0"/>
          <w:i w:val="0"/>
          <w:caps w:val="0"/>
          <w:color w:val="333333"/>
          <w:spacing w:val="0"/>
          <w:shd w:val="clear" w:color="auto" w:fill="auto"/>
        </w:rPr>
        <w:t>PC-STEL:短时间接触容许浓度(permissible concentration-short term exposure limit)，指在遵守PC-TWA前提下允许短时间(15 min)接触的浓度。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宋体" w:hAnsi="宋体" w:eastAsia="宋体" w:cs="宋体"/>
          <w:b/>
          <w:sz w:val="24"/>
          <w:szCs w:val="24"/>
          <w:shd w:val="clear" w:color="auto" w:fill="auto"/>
        </w:rPr>
      </w:pPr>
      <w:r>
        <w:rPr>
          <w:rFonts w:hint="eastAsia" w:ascii="宋体" w:hAnsi="宋体" w:eastAsia="宋体" w:cs="宋体"/>
          <w:b/>
          <w:i w:val="0"/>
          <w:caps w:val="0"/>
          <w:color w:val="333333"/>
          <w:spacing w:val="0"/>
          <w:sz w:val="24"/>
          <w:szCs w:val="24"/>
          <w:shd w:val="clear" w:color="auto" w:fill="auto"/>
        </w:rPr>
        <w:t>免责声明：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300" w:right="0"/>
        <w:rPr>
          <w:shd w:val="clear" w:color="auto" w:fill="auto"/>
        </w:rPr>
      </w:pPr>
      <w:r>
        <w:rPr>
          <w:b w:val="0"/>
          <w:i w:val="0"/>
          <w:caps w:val="0"/>
          <w:color w:val="333333"/>
          <w:spacing w:val="0"/>
          <w:shd w:val="clear" w:color="auto" w:fill="auto"/>
        </w:rPr>
        <w:t>本SDS的信息仅适用于所指定的产品，除非特别指明，对于本产品与其它物质的混合物等情况不适用。本SDS只为那些受过适当专业训练的该产品的使用人员提供产品使用安全方面的资料。本SDS的使用者，须对该SDS的适用性作出独立判断。由于使用本SDS所导致的伤害，本SDS的编写者将不负任何责任。</w:t>
      </w:r>
    </w:p>
    <w:p>
      <w:pPr>
        <w:shd w:val="clear"/>
        <w:rPr>
          <w:shd w:val="clear" w:color="auto" w:fil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4FC0F"/>
    <w:multiLevelType w:val="multilevel"/>
    <w:tmpl w:val="BB34FC0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272AF"/>
    <w:rsid w:val="2D5838AC"/>
    <w:rsid w:val="3D8F582D"/>
    <w:rsid w:val="40AE6B72"/>
    <w:rsid w:val="415272AF"/>
    <w:rsid w:val="4DEA0F60"/>
    <w:rsid w:val="59CC5E63"/>
    <w:rsid w:val="5E1C7F61"/>
    <w:rsid w:val="664207E9"/>
    <w:rsid w:val="701D76FF"/>
    <w:rsid w:val="7EC974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2018-08-20T00:14:00Z</dcterms:created>
  <dc:creator>靜々</dc:creator>
  <cp:lastModifiedBy>鹹魚</cp:lastModifiedBy>
  <cp:lastPrinted>2021-01-15T03:42:05Z</cp:lastPrinted>
  <dcterms:modified xsi:type="dcterms:W3CDTF">2021-01-15T03:42:10Z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