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bCs/>
          <w:i w:val="0"/>
          <w:caps w:val="0"/>
          <w:color w:val="333333"/>
          <w:spacing w:val="0"/>
          <w:sz w:val="42"/>
          <w:szCs w:val="42"/>
          <w:shd w:val="clear" w:color="auto" w:fill="auto"/>
          <w:lang w:val="en-US" w:eastAsia="zh-CN"/>
        </w:rPr>
      </w:pPr>
      <w:bookmarkStart w:id="0" w:name="_GoBack"/>
      <w:r>
        <w:rPr>
          <w:rFonts w:hint="eastAsia"/>
          <w:b/>
          <w:bCs/>
          <w:i w:val="0"/>
          <w:caps w:val="0"/>
          <w:color w:val="333333"/>
          <w:spacing w:val="0"/>
          <w:sz w:val="42"/>
          <w:szCs w:val="42"/>
          <w:shd w:val="clear" w:color="auto" w:fill="auto"/>
          <w:lang w:val="en-US" w:eastAsia="zh-CN"/>
        </w:rPr>
        <w:t>肉桂酰胺</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bCs/>
          <w:sz w:val="42"/>
          <w:szCs w:val="42"/>
          <w:shd w:val="clear" w:color="auto" w:fill="auto"/>
        </w:rPr>
      </w:pPr>
      <w:r>
        <w:rPr>
          <w:b/>
          <w:bCs/>
          <w:i w:val="0"/>
          <w:caps w:val="0"/>
          <w:color w:val="333333"/>
          <w:spacing w:val="0"/>
          <w:sz w:val="42"/>
          <w:szCs w:val="42"/>
          <w:shd w:val="clear" w:color="auto" w:fill="auto"/>
        </w:rPr>
        <w:t>化学品安全技术说明书</w:t>
      </w:r>
    </w:p>
    <w:tbl>
      <w:tblPr>
        <w:tblStyle w:val="6"/>
        <w:tblW w:w="10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79"/>
        <w:gridCol w:w="5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779"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产品名称:</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肉桂酰胺</w:t>
            </w:r>
          </w:p>
        </w:tc>
        <w:tc>
          <w:tcPr>
            <w:tcW w:w="5681"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按照GB/T 16483、GB/T 17519 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779"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修订日期: 201</w:t>
            </w:r>
            <w:r>
              <w:rPr>
                <w:rFonts w:hint="eastAsia" w:ascii="宋体" w:hAnsi="宋体" w:eastAsia="宋体" w:cs="宋体"/>
                <w:kern w:val="0"/>
                <w:sz w:val="24"/>
                <w:szCs w:val="24"/>
                <w:shd w:val="clear" w:color="auto" w:fill="auto"/>
                <w:lang w:val="en-US" w:eastAsia="zh-CN" w:bidi="ar"/>
              </w:rPr>
              <w:t>8</w:t>
            </w:r>
            <w:r>
              <w:rPr>
                <w:rFonts w:ascii="宋体" w:hAnsi="宋体" w:eastAsia="宋体" w:cs="宋体"/>
                <w:kern w:val="0"/>
                <w:sz w:val="24"/>
                <w:szCs w:val="24"/>
                <w:shd w:val="clear" w:color="auto" w:fill="auto"/>
                <w:lang w:val="en-US" w:eastAsia="zh-CN" w:bidi="ar"/>
              </w:rPr>
              <w:t>年0</w:t>
            </w:r>
            <w:r>
              <w:rPr>
                <w:rFonts w:hint="eastAsia" w:ascii="宋体" w:hAnsi="宋体" w:eastAsia="宋体" w:cs="宋体"/>
                <w:kern w:val="0"/>
                <w:sz w:val="24"/>
                <w:szCs w:val="24"/>
                <w:shd w:val="clear" w:color="auto" w:fill="auto"/>
                <w:lang w:val="en-US" w:eastAsia="zh-CN" w:bidi="ar"/>
              </w:rPr>
              <w:t>7</w:t>
            </w:r>
            <w:r>
              <w:rPr>
                <w:rFonts w:ascii="宋体" w:hAnsi="宋体" w:eastAsia="宋体" w:cs="宋体"/>
                <w:kern w:val="0"/>
                <w:sz w:val="24"/>
                <w:szCs w:val="24"/>
                <w:shd w:val="clear" w:color="auto" w:fill="auto"/>
                <w:lang w:val="en-US" w:eastAsia="zh-CN" w:bidi="ar"/>
              </w:rPr>
              <w:t>月1</w:t>
            </w:r>
            <w:r>
              <w:rPr>
                <w:rFonts w:hint="eastAsia" w:ascii="宋体" w:hAnsi="宋体" w:eastAsia="宋体" w:cs="宋体"/>
                <w:kern w:val="0"/>
                <w:sz w:val="24"/>
                <w:szCs w:val="24"/>
                <w:shd w:val="clear" w:color="auto" w:fill="auto"/>
                <w:lang w:val="en-US" w:eastAsia="zh-CN" w:bidi="ar"/>
              </w:rPr>
              <w:t>5</w:t>
            </w:r>
            <w:r>
              <w:rPr>
                <w:rFonts w:ascii="宋体" w:hAnsi="宋体" w:eastAsia="宋体" w:cs="宋体"/>
                <w:kern w:val="0"/>
                <w:sz w:val="24"/>
                <w:szCs w:val="24"/>
                <w:shd w:val="clear" w:color="auto" w:fill="auto"/>
                <w:lang w:val="en-US" w:eastAsia="zh-CN" w:bidi="ar"/>
              </w:rPr>
              <w:t>日</w:t>
            </w:r>
          </w:p>
        </w:tc>
        <w:tc>
          <w:tcPr>
            <w:tcW w:w="5681"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最初编制日期: 201</w:t>
            </w:r>
            <w:r>
              <w:rPr>
                <w:rFonts w:hint="eastAsia" w:ascii="宋体" w:hAnsi="宋体" w:eastAsia="宋体" w:cs="宋体"/>
                <w:kern w:val="0"/>
                <w:sz w:val="24"/>
                <w:szCs w:val="24"/>
                <w:shd w:val="clear" w:color="auto" w:fill="auto"/>
                <w:lang w:val="en-US" w:eastAsia="zh-CN" w:bidi="ar"/>
              </w:rPr>
              <w:t>8</w:t>
            </w:r>
            <w:r>
              <w:rPr>
                <w:rFonts w:ascii="宋体" w:hAnsi="宋体" w:eastAsia="宋体" w:cs="宋体"/>
                <w:kern w:val="0"/>
                <w:sz w:val="24"/>
                <w:szCs w:val="24"/>
                <w:shd w:val="clear" w:color="auto" w:fill="auto"/>
                <w:lang w:val="en-US" w:eastAsia="zh-CN" w:bidi="ar"/>
              </w:rPr>
              <w:t>年0</w:t>
            </w:r>
            <w:r>
              <w:rPr>
                <w:rFonts w:hint="eastAsia" w:ascii="宋体" w:hAnsi="宋体" w:eastAsia="宋体" w:cs="宋体"/>
                <w:kern w:val="0"/>
                <w:sz w:val="24"/>
                <w:szCs w:val="24"/>
                <w:shd w:val="clear" w:color="auto" w:fill="auto"/>
                <w:lang w:val="en-US" w:eastAsia="zh-CN" w:bidi="ar"/>
              </w:rPr>
              <w:t>7</w:t>
            </w:r>
            <w:r>
              <w:rPr>
                <w:rFonts w:ascii="宋体" w:hAnsi="宋体" w:eastAsia="宋体" w:cs="宋体"/>
                <w:kern w:val="0"/>
                <w:sz w:val="24"/>
                <w:szCs w:val="24"/>
                <w:shd w:val="clear" w:color="auto" w:fill="auto"/>
                <w:lang w:val="en-US" w:eastAsia="zh-CN" w:bidi="ar"/>
              </w:rPr>
              <w:t>月1</w:t>
            </w:r>
            <w:r>
              <w:rPr>
                <w:rFonts w:hint="eastAsia" w:ascii="宋体" w:hAnsi="宋体" w:eastAsia="宋体" w:cs="宋体"/>
                <w:kern w:val="0"/>
                <w:sz w:val="24"/>
                <w:szCs w:val="24"/>
                <w:shd w:val="clear" w:color="auto" w:fill="auto"/>
                <w:lang w:val="en-US" w:eastAsia="zh-CN" w:bidi="ar"/>
              </w:rPr>
              <w:t>5</w:t>
            </w:r>
            <w:r>
              <w:rPr>
                <w:rFonts w:ascii="宋体" w:hAnsi="宋体" w:eastAsia="宋体" w:cs="宋体"/>
                <w:kern w:val="0"/>
                <w:sz w:val="24"/>
                <w:szCs w:val="24"/>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779"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版本: 1.0</w:t>
            </w:r>
          </w:p>
        </w:tc>
        <w:tc>
          <w:tcPr>
            <w:tcW w:w="5681" w:type="dxa"/>
            <w:shd w:val="clear" w:color="auto" w:fill="auto"/>
            <w:vAlign w:val="center"/>
          </w:tcPr>
          <w:p>
            <w:pPr>
              <w:shd w:val="clear"/>
              <w:jc w:val="both"/>
              <w:rPr>
                <w:rFonts w:hint="eastAsia" w:ascii="宋体"/>
                <w:sz w:val="24"/>
                <w:szCs w:val="24"/>
                <w:shd w:val="clear" w:color="auto" w:fill="auto"/>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第1部分 化学品及企业标识</w:t>
      </w:r>
    </w:p>
    <w:p>
      <w:pPr>
        <w:spacing w:line="360" w:lineRule="auto"/>
        <w:rPr>
          <w:rFonts w:hint="default"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化学品中文名</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肉桂酰胺</w:t>
      </w:r>
    </w:p>
    <w:p>
      <w:pPr>
        <w:spacing w:line="360" w:lineRule="auto"/>
        <w:rPr>
          <w:rFonts w:hint="eastAsia" w:ascii="宋体" w:hAnsi="宋体" w:eastAsia="宋体" w:cs="宋体"/>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化学品英文名</w:t>
      </w:r>
      <w:r>
        <w:rPr>
          <w:rFonts w:ascii="Times New Roman" w:hAnsi="Times New Roman" w:eastAsia="黑体" w:cs="Times New Roman"/>
          <w:sz w:val="24"/>
          <w:szCs w:val="24"/>
        </w:rPr>
        <w:t>：</w:t>
      </w:r>
      <w:r>
        <w:rPr>
          <w:rFonts w:hint="eastAsia" w:ascii="宋体" w:hAnsi="宋体" w:eastAsia="宋体" w:cs="宋体"/>
          <w:kern w:val="0"/>
          <w:sz w:val="24"/>
          <w:szCs w:val="24"/>
          <w:shd w:val="clear" w:color="auto" w:fill="auto"/>
          <w:lang w:val="en-US" w:eastAsia="zh-CN" w:bidi="ar"/>
        </w:rPr>
        <w:t>cinnamon amide</w:t>
      </w:r>
    </w:p>
    <w:p>
      <w:pPr>
        <w:spacing w:line="360" w:lineRule="auto"/>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企业名称</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武汉能迈科实业有限公司</w:t>
      </w:r>
    </w:p>
    <w:p>
      <w:pPr>
        <w:spacing w:line="360" w:lineRule="auto"/>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企业地址</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武汉市江岸区塔子湖东路18号</w:t>
      </w:r>
    </w:p>
    <w:p>
      <w:pPr>
        <w:spacing w:line="360" w:lineRule="auto"/>
        <w:rPr>
          <w:b w:val="0"/>
          <w:i w:val="0"/>
          <w:caps w:val="0"/>
          <w:color w:val="000000"/>
          <w:spacing w:val="0"/>
          <w:sz w:val="30"/>
          <w:szCs w:val="30"/>
          <w:shd w:val="clear" w:color="auto" w:fill="auto"/>
        </w:rPr>
      </w:pPr>
      <w:r>
        <w:rPr>
          <w:rFonts w:hint="eastAsia" w:ascii="宋体" w:hAnsi="宋体" w:eastAsia="宋体" w:cs="宋体"/>
          <w:b/>
          <w:i w:val="0"/>
          <w:caps w:val="0"/>
          <w:color w:val="333333"/>
          <w:spacing w:val="0"/>
          <w:sz w:val="24"/>
          <w:szCs w:val="24"/>
          <w:shd w:val="clear" w:color="auto" w:fill="auto"/>
        </w:rPr>
        <w:t>联系电话</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027-83916065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2 部分：危险性概述</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紧急情况概述</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粉末灰白色或米色吞咽有害。 请教医生。, 向到现场的医生出示此安全技术说明书。 如果吸入,请将患者移到新鲜空气处。, 如呼吸停止，进行人工呼吸。, 请教医生。 用肥皂和大量的水冲洗。, 请教医生。谨慎起见用水冲洗眼睛。 切勿给失去知觉者喂食任何东西。, 用水漱口。, 请教医生。</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GHS危险性类别</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急性毒性 , 经口 ( 类别 4 ), H302</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本部分提及的健康说明（H-)全文请见第16部分。</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GHS 标签要素，包括防范说明</w:t>
      </w:r>
    </w:p>
    <w:p>
      <w:pPr>
        <w:shd w:val="clear"/>
        <w:rPr>
          <w:rFonts w:hint="eastAsia"/>
          <w:b w:val="0"/>
          <w:i w:val="0"/>
          <w:caps w:val="0"/>
          <w:color w:val="000000"/>
          <w:spacing w:val="0"/>
          <w:sz w:val="30"/>
          <w:szCs w:val="30"/>
          <w:shd w:val="clear" w:color="auto" w:fill="auto"/>
        </w:rPr>
      </w:pPr>
      <w:r>
        <w:drawing>
          <wp:anchor distT="0" distB="0" distL="0" distR="0" simplePos="0" relativeHeight="251659264" behindDoc="0" locked="0" layoutInCell="1" allowOverlap="1">
            <wp:simplePos x="0" y="0"/>
            <wp:positionH relativeFrom="page">
              <wp:posOffset>2078355</wp:posOffset>
            </wp:positionH>
            <wp:positionV relativeFrom="paragraph">
              <wp:posOffset>104775</wp:posOffset>
            </wp:positionV>
            <wp:extent cx="731520" cy="635000"/>
            <wp:effectExtent l="0" t="0" r="11430" b="1270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731520" cy="635000"/>
                    </a:xfrm>
                    <a:prstGeom prst="rect">
                      <a:avLst/>
                    </a:prstGeom>
                  </pic:spPr>
                </pic:pic>
              </a:graphicData>
            </a:graphic>
          </wp:anchor>
        </w:drawing>
      </w:r>
      <w:r>
        <w:rPr>
          <w:rFonts w:hint="eastAsia"/>
          <w:b w:val="0"/>
          <w:i w:val="0"/>
          <w:caps w:val="0"/>
          <w:color w:val="000000"/>
          <w:spacing w:val="0"/>
          <w:sz w:val="30"/>
          <w:szCs w:val="30"/>
          <w:shd w:val="clear" w:color="auto" w:fill="auto"/>
        </w:rPr>
        <w:t>象形图</w:t>
      </w: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信号词</w:t>
      </w:r>
      <w:r>
        <w:rPr>
          <w:rFonts w:hint="eastAsia"/>
          <w:b w:val="0"/>
          <w:i w:val="0"/>
          <w:caps w:val="0"/>
          <w:color w:val="000000"/>
          <w:spacing w:val="0"/>
          <w:sz w:val="30"/>
          <w:szCs w:val="30"/>
          <w:shd w:val="clear" w:color="auto" w:fill="auto"/>
        </w:rPr>
        <w:tab/>
      </w:r>
      <w:r>
        <w:rPr>
          <w:rFonts w:hint="eastAsia"/>
          <w:b w:val="0"/>
          <w:i w:val="0"/>
          <w:caps w:val="0"/>
          <w:color w:val="000000"/>
          <w:spacing w:val="0"/>
          <w:sz w:val="30"/>
          <w:szCs w:val="30"/>
          <w:shd w:val="clear" w:color="auto" w:fill="auto"/>
          <w:lang w:val="en-US" w:eastAsia="zh-CN"/>
        </w:rPr>
        <w:t xml:space="preserve">           </w:t>
      </w:r>
      <w:r>
        <w:rPr>
          <w:rFonts w:hint="eastAsia"/>
          <w:b w:val="0"/>
          <w:i w:val="0"/>
          <w:caps w:val="0"/>
          <w:color w:val="000000"/>
          <w:spacing w:val="0"/>
          <w:sz w:val="30"/>
          <w:szCs w:val="30"/>
          <w:shd w:val="clear" w:color="auto" w:fill="auto"/>
        </w:rPr>
        <w:t>警告</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危险申明</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H302 吞咽有害。预防措施</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P264 作业后彻底清洗皮肤。</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P270 使用本产品时不要进食、饮水或吸烟。事故响应</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P301+P312 如误吞咽：如感觉不适，呼叫急救中心/医生。</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P330 漱口。废弃处置</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P501 将内装物/容器送到批准的废物处理厂处理。</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物理和化学危险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目前掌握信息，没有物理或化学的危险性。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健康危害</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H302 吞咽有害。</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环境危害</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目前掌握信息，没有环境的危害。</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其它危害物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 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3 部分：成分/组成信息</w:t>
      </w:r>
    </w:p>
    <w:p>
      <w:pPr>
        <w:shd w:val="clear"/>
        <w:rPr>
          <w:rFonts w:hint="eastAsia"/>
          <w:b w:val="0"/>
          <w:i w:val="0"/>
          <w:caps w:val="0"/>
          <w:color w:val="000000"/>
          <w:spacing w:val="0"/>
          <w:sz w:val="30"/>
          <w:szCs w:val="30"/>
          <w:shd w:val="clear" w:color="auto" w:fill="auto"/>
        </w:rPr>
      </w:pPr>
      <w:r>
        <w:drawing>
          <wp:inline distT="0" distB="0" distL="114300" distR="114300">
            <wp:extent cx="6000750" cy="2590800"/>
            <wp:effectExtent l="0" t="0" r="0" b="0"/>
            <wp:docPr id="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pic:cNvPicPr>
                      <a:picLocks noChangeAspect="1"/>
                    </pic:cNvPicPr>
                  </pic:nvPicPr>
                  <pic:blipFill>
                    <a:blip r:embed="rId5"/>
                    <a:stretch>
                      <a:fillRect/>
                    </a:stretch>
                  </pic:blipFill>
                  <pic:spPr>
                    <a:xfrm>
                      <a:off x="0" y="0"/>
                      <a:ext cx="6000750" cy="2590800"/>
                    </a:xfrm>
                    <a:prstGeom prst="rect">
                      <a:avLst/>
                    </a:prstGeom>
                    <a:noFill/>
                    <a:ln>
                      <a:noFill/>
                    </a:ln>
                  </pic:spPr>
                </pic:pic>
              </a:graphicData>
            </a:graphic>
          </wp:inline>
        </w:drawing>
      </w: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4 部分：急救措施</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必要的急救措施描述</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一般的建议</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请教医生。 向到现场的医生出示此安全技术说明书。</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吸入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如果吸入,请将患者移到新鲜空气处。 如呼吸停止，进行人工呼吸。 请教医生。皮肤接触</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用肥皂和大量的水冲洗。 请教医生。眼睛接触</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谨慎起见用水冲洗眼睛。</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食入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切勿给失去知觉者喂食任何东西。 用水漱口。 请教医生。</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最重要的症状和健康影响</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最重要的已知症状及作用已在标签（参见章节2.2）和/或章节11中介绍</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及时的医疗处理和所需的特殊处理的说明和指示</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对医生的特别提示</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5 部分：消防措施</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灭火介质</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灭火方法及灭火剂</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用水雾，耐醇泡沫，干粉或二氧化碳灭火。</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源于此物质或混合物的特别的危害</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碳氧化物, 氮氧化物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灭火注意事项及保护措施</w:t>
      </w: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如有必要，佩戴自给式呼吸器进行消防作业。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6 部分：泄露应急处理</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人员防护措施、防护装备和应急处置程序</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使用个人防护装备。 避免粉尘生成。 避免吸入蒸气、气雾或气体。 保证充分的通风。 避免吸入粉尘。有关个人防护,请看第8部分。</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环境保护措施</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不要让产品进入下水道。</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泄漏化学品的收容、清除方法及所使用的处置材料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收集和处置时不要产生粉尘。 扫掉和铲掉。 放入合适的封闭的容器中待处理。</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参考其他部分</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丢弃处理请参阅第13节。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7 部分：操作处置与储存</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安全操作的注意事项</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避免接触皮肤和眼睛。 避免形成粉尘和气溶胶。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在有粉尘生成的地方,提供合适的排风设备。一般性的防火保护措施。有关预防措施，请参见章节2.2。</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安全储存的条件,包括任何不兼容性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贮存在阴凉处。 使容器保持密闭，储存在干燥通风处。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8 部分：接触控制/个体防护</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控制参数</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危害组成及职业接触限值</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没有已知的国家规定的暴露极限。</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暴露控制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适当的技术控制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按照良好的工业卫生和安全规范进行操作。 休息前及工作结束时洗手。</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个体防护装备</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眼面防护</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带有防护边罩的安全眼镜符合 EN166要求请使用经官方标准如NIOSH (美国) 或 EN 166(欧盟) 检测与批准的设备防护眼部。</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皮肤保护</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戴手套取手套在使用前必须受检查。 请使用合适的方法脱除手套(不要接触手套外部表面),避免任何皮肤部位接触此产品. 使用后请将被污染过的手套根据相关法律法规和有效的实验室规章程序谨慎处理. 请清洗并吹干双手</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所选择的保护手套必须符合法规 (EU)2016/425 和从它衍生出来的 EN 374 标准所给出的规格。</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身体保护</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全套防化学试剂工作服, 防护设备的类型必须根据特定工作场所中的危险物的浓度和数量来选择。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呼吸系统防护</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如须暴露于有害环境中,请使用P95型(美国)或P1型(欧盟英国 143)防微粒呼吸器。如需更高级别防护,请使用OV/AG/P99型(美国)或ABEK-P2型 (欧盟英国 143)</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防毒罐。</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呼吸器使用经过测试并通过政府标准如NIOSH（US）或CEN（EU）的呼吸器和零件。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环境暴露的控制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不要让产品进入下水道。</w:t>
      </w:r>
    </w:p>
    <w:p>
      <w:pPr>
        <w:shd w:val="clear"/>
        <w:rPr>
          <w:rFonts w:hint="eastAsia"/>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9 部分：理化特性</w:t>
      </w:r>
    </w:p>
    <w:p>
      <w:pPr>
        <w:shd w:val="clear"/>
        <w:rPr>
          <w:rFonts w:hint="eastAsia"/>
          <w:b w:val="0"/>
          <w:i w:val="0"/>
          <w:caps w:val="0"/>
          <w:color w:val="000000"/>
          <w:spacing w:val="0"/>
          <w:sz w:val="30"/>
          <w:szCs w:val="30"/>
          <w:shd w:val="clear" w:color="auto" w:fill="auto"/>
        </w:rPr>
      </w:pPr>
      <w:r>
        <w:drawing>
          <wp:inline distT="0" distB="0" distL="114300" distR="114300">
            <wp:extent cx="6419850" cy="2286000"/>
            <wp:effectExtent l="0" t="0" r="0" b="0"/>
            <wp:docPr id="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
                    <pic:cNvPicPr>
                      <a:picLocks noChangeAspect="1"/>
                    </pic:cNvPicPr>
                  </pic:nvPicPr>
                  <pic:blipFill>
                    <a:blip r:embed="rId6"/>
                    <a:stretch>
                      <a:fillRect/>
                    </a:stretch>
                  </pic:blipFill>
                  <pic:spPr>
                    <a:xfrm>
                      <a:off x="0" y="0"/>
                      <a:ext cx="6419850" cy="2286000"/>
                    </a:xfrm>
                    <a:prstGeom prst="rect">
                      <a:avLst/>
                    </a:prstGeom>
                    <a:noFill/>
                    <a:ln>
                      <a:noFill/>
                    </a:ln>
                  </pic:spPr>
                </pic:pic>
              </a:graphicData>
            </a:graphic>
          </wp:inline>
        </w:drawing>
      </w:r>
    </w:p>
    <w:p>
      <w:pPr>
        <w:shd w:val="clear"/>
        <w:rPr>
          <w:rFonts w:hint="eastAsia"/>
          <w:b w:val="0"/>
          <w:i w:val="0"/>
          <w:caps w:val="0"/>
          <w:color w:val="000000"/>
          <w:spacing w:val="0"/>
          <w:sz w:val="30"/>
          <w:szCs w:val="30"/>
          <w:shd w:val="clear" w:color="auto" w:fill="auto"/>
        </w:rPr>
      </w:pPr>
      <w:r>
        <w:drawing>
          <wp:inline distT="0" distB="0" distL="114300" distR="114300">
            <wp:extent cx="6172200" cy="5924550"/>
            <wp:effectExtent l="0" t="0" r="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pic:cNvPicPr>
                  </pic:nvPicPr>
                  <pic:blipFill>
                    <a:blip r:embed="rId7"/>
                    <a:stretch>
                      <a:fillRect/>
                    </a:stretch>
                  </pic:blipFill>
                  <pic:spPr>
                    <a:xfrm>
                      <a:off x="0" y="0"/>
                      <a:ext cx="6172200" cy="5924550"/>
                    </a:xfrm>
                    <a:prstGeom prst="rect">
                      <a:avLst/>
                    </a:prstGeom>
                    <a:noFill/>
                    <a:ln>
                      <a:noFill/>
                    </a:ln>
                  </pic:spPr>
                </pic:pic>
              </a:graphicData>
            </a:graphic>
          </wp:inline>
        </w:drawing>
      </w: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10 部分：稳定性和反应性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drawing>
          <wp:inline distT="0" distB="0" distL="114300" distR="114300">
            <wp:extent cx="6645275" cy="4739005"/>
            <wp:effectExtent l="0" t="0" r="3175" b="4445"/>
            <wp:docPr id="8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
                    <pic:cNvPicPr>
                      <a:picLocks noChangeAspect="1"/>
                    </pic:cNvPicPr>
                  </pic:nvPicPr>
                  <pic:blipFill>
                    <a:blip r:embed="rId8"/>
                    <a:stretch>
                      <a:fillRect/>
                    </a:stretch>
                  </pic:blipFill>
                  <pic:spPr>
                    <a:xfrm>
                      <a:off x="0" y="0"/>
                      <a:ext cx="6645275" cy="473900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11 部分：毒理学信息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毒理学影响的信息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急性毒性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LD50 经口 - 小鼠 - 1,600 mg/kg</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皮肤腐蚀/刺激无数据资料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严重眼睛损伤/眼刺激无数据资料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呼吸或皮肤过敏无数据资料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生殖细胞致突变性无数据资料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致癌性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IARC: 此产品中所有含量大于等于0.1%的组分中，没有被IARC鉴别为已知或可能的致癌物。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生殖毒性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特异性靶器官系统毒性（一次接触） 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特异性靶器官系统毒性（反复接触） 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吸入危害无数据资料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附加说明</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化学物质毒性作用登记 : GD6853000</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据我们所知，此化学，物理和毒性性质尚未经完整的研究。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12 部分：生态学信息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生态毒性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持久性和降解</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生物蓄积潜力</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土壤中的迁移性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PBT和vPvB的结果评价</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由于化学品安全评估未要求/未开展，因此 PBT/vPvB 评估不可用</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其他环境有害作用</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无数据资料</w:t>
      </w: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p>
    <w:p>
      <w:pPr>
        <w:shd w:val="clear"/>
        <w:rPr>
          <w:rFonts w:hint="eastAsia"/>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13 部分：废弃处置</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废物处理方法</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产品</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将剩余的和不可回收的溶液交给有许可证的公司处理。  联系专业的拥有废弃物处理执照的机构来处理此物质。  与易燃溶剂相溶或者相混合，在备有燃烧后处理和洗刷作用的化学焚化炉中燃烧</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污染包装物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按未用产品处置。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14 部分：运输信息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联合国编号 / UN number</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欧洲陆运危规 / ADR/RID: - 国际海运危规 / IMDG: - 国际空运危规 / IATA-DGR: -</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联合国运输名称 / UN proper shipping name</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欧洲陆运危规 : 非危险货物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ADR/RID: 非危险货物 国际海运危规 : 非危险货物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IMDG: Not dangerous goods</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国际空运危规 : 非危险货物</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IATA-DGR: Not dangerous goods</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运输危险类别 / Transport hazard class(es)</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欧洲陆运危规 / ADR/RID: - 国际海运危规 / IMDG: - 国际空运危规 / IATA-DGR: -</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包裹组 / Packaging group</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欧洲陆运危规 / ADR/RID: - 国际海运危规 / IMDG: - 国际空运危规 / IATA-DGR: -</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环境危害 / Environmental hazardsADR/RID 欧洲负责公路运输的机构/欧洲负责铁路运输的机构 : 否</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国际海运危险货物规则 (IMDG) 海洋污染物（是/否） : 否</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国际空运危规 : 否</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特殊防范措施 特 / Special precautions for user</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请根据化学品性质选择合适的运输工具及相应的运输储存条件。运输工具应配备相应品种和数量的消防材料及泄露应急处理设备。如选择公路运输，请按规定路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线行驶。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禁配物 禁 / Incompatible materials</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强氧化剂</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15 部分：法规信息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专门对此物质或混合物的安全，健康和环境的规章 专 / 法规适用法规 法</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中华人民共和国职业病防止法 中</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职业病危害因素分类目录: 未列入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危险化学品安全管理条例 危</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危险品化学品目录（2018）: 未列入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危险化学品环境管理登记办法 危</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重点环境管理危险化学品目录（2014）: 未列入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麻醉药品和精神药品管理条例 麻</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麻醉药品品种目录（2013）: 未列入精神药品品种目录（2013）: 未列入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新化学物质环境管理办法 新</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中国现有化学物质名录: 未列入</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其它的规定 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请注意废物处理也应该满足当地法规的要求。</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第 16 部分：其他信息</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参考文献 参</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【1】国际化学品安全规划署：国际化学品安全卡（ICSC），网址：http://www.ilo.org/dyn/icsc/showcard.home。</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【2】国际癌症研究机构，网址：http://www.iarc.fr/。</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【3】OECD 全球化学品信息平台，网址：http://www.echemportal.org/echemportal/index?pageID=0&amp;request_locale=en。</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【4】美国 CAMEO 化学物质数据库，网址：http://cameochemicals.noaa.gov/search/simple。</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【5】美国医学图书馆:化学品标识数据库，网址：http://chem.sis.nlm.nih.gov/chemidplus/chemidlite.jsp。</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【6】美国环境保护署：综合危险性信息系统，网址：http://cfpub.epa.gov/iris/。</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【7】美国交通部：应急响应指南，网址：http://www.phmsa.dot.gov/hazmat/library/erg。</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【8】德国GESTIS-有害物质数据库，网址：http://gestis-en.itrust.de/。</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【9】Sigma-Aldrich，网址：https://www.sigmaaldrich.com/</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其他信息 其</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安全技术说明书第 安 2、3部分提及的危险性说明的全文 部</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H302 吞咽有害</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 xml:space="preserve">免责声明： </w:t>
      </w:r>
    </w:p>
    <w:p>
      <w:pPr>
        <w:shd w:val="clear"/>
        <w:rPr>
          <w:rFonts w:hint="eastAsia"/>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本MSDS的信息仅适用于所指定的产品，除非特别指明， 对于本产品与其它物质的混合物等情况不适用。 本MSDS只为那些受过适当专业训练的该产品的使用人员</w:t>
      </w:r>
    </w:p>
    <w:p>
      <w:pPr>
        <w:shd w:val="clear"/>
        <w:rPr>
          <w:b w:val="0"/>
          <w:i w:val="0"/>
          <w:caps w:val="0"/>
          <w:color w:val="000000"/>
          <w:spacing w:val="0"/>
          <w:sz w:val="30"/>
          <w:szCs w:val="30"/>
          <w:shd w:val="clear" w:color="auto" w:fill="auto"/>
        </w:rPr>
      </w:pPr>
      <w:r>
        <w:rPr>
          <w:rFonts w:hint="eastAsia"/>
          <w:b w:val="0"/>
          <w:i w:val="0"/>
          <w:caps w:val="0"/>
          <w:color w:val="000000"/>
          <w:spacing w:val="0"/>
          <w:sz w:val="30"/>
          <w:szCs w:val="30"/>
          <w:shd w:val="clear" w:color="auto" w:fill="auto"/>
        </w:rPr>
        <w:t>提供产品使用安全方面的资料。 本MSDS的使用者，须对该SDS的适用性作出独立判断。由于使用本MSDS所导致的伤害，本MSDS的编写者将不负任何责任。</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NThjMTA4YzYxMTU1OGM2ZmNhODIxYjZhY2M1YTQifQ=="/>
  </w:docVars>
  <w:rsids>
    <w:rsidRoot w:val="415272AF"/>
    <w:rsid w:val="24D43B10"/>
    <w:rsid w:val="2D5838AC"/>
    <w:rsid w:val="3D8F582D"/>
    <w:rsid w:val="40AE6B72"/>
    <w:rsid w:val="415272AF"/>
    <w:rsid w:val="4DEA0F60"/>
    <w:rsid w:val="59CC5E63"/>
    <w:rsid w:val="5E1C7F61"/>
    <w:rsid w:val="664207E9"/>
    <w:rsid w:val="701D76FF"/>
    <w:rsid w:val="7EC974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2972</Words>
  <Characters>3804</Characters>
  <Lines>0</Lines>
  <Paragraphs>0</Paragraphs>
  <TotalTime>5</TotalTime>
  <ScaleCrop>false</ScaleCrop>
  <LinksUpToDate>false</LinksUpToDate>
  <CharactersWithSpaces>4046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2018-08-20T00:14:00Z</dcterms:created>
  <dc:creator>靜々</dc:creator>
  <cp:lastModifiedBy>吴限</cp:lastModifiedBy>
  <cp:lastPrinted>2021-01-15T03:42:00Z</cp:lastPrinted>
  <dcterms:modified xsi:type="dcterms:W3CDTF">2022-11-19T03:26:52Z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A8EBDC520D134A1AB5C5EC3EDA1B2D04</vt:lpwstr>
  </property>
</Properties>
</file>